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2010/35 vom 20. Januar 2010</w:t>
      </w:r>
    </w:p>
    <w:p>
      <w:r>
        <w:t>Bundesverwaltungsgericht, 2010-01-20, FR</w:t>
      </w:r>
    </w:p>
    <w:p>
      <w:r>
        <w:rPr>
          <w:b/>
        </w:rPr>
        <w:t xml:space="preserve">Quelle: </w:t>
      </w:r>
      <w:r>
        <w:t>https://mcp.opencaselaw.ch/entscheid/bvger_BVGE 2010_35</w:t>
      </w:r>
    </w:p>
    <w:p>
      <w:r>
        <w:t>FR: TAF BVGE 2010/35 du 20 janvier 2010</w:t>
      </w:r>
    </w:p>
    <w:p>
      <w:r>
        <w:t>IT: TAF BVGE 2010/35 del 20 gennaio 2010</w:t>
      </w:r>
    </w:p>
    <w:p>
      <w:pPr>
        <w:pStyle w:val="Heading2"/>
      </w:pPr>
      <w:r>
        <w:t>Regeste</w:t>
      </w:r>
    </w:p>
    <w:p>
      <w:r>
        <w:t>Evaluation de l'invalidité</w:t>
      </w:r>
    </w:p>
    <w:p>
      <w:pPr>
        <w:pStyle w:val="Heading2"/>
      </w:pPr>
      <w:r>
        <w:t>Erwägungen</w:t>
      </w:r>
    </w:p>
    <w:p>
      <w:r>
        <w:rPr>
          <w:b/>
        </w:rPr>
        <w:t>E. 4</w:t>
      </w:r>
    </w:p>
    <w:p>
      <w:r>
        <w:t>Le recourant se plaint de ce que n'ayant pas eu accès au dossier, il ignore les éléments sur lesquels s'est fondée l'autorité intimée pour pro­non­cer la décision litigieuse. Partant, il demande à être autorisé à com­plé­ter son recours après avoir pris connaissance des pièces versées en cause. Les motifs ayant conduit le recourant à formuler cette requête équi­valent à invoquer une violation du droit d'être entendu, droit dont le respect est examiné d'office par le TAF (cf. ATF 120 V 357 consid. 2a).</w:t>
      </w:r>
    </w:p>
    <w:p>
      <w:r>
        <w:rPr>
          <w:b/>
        </w:rPr>
        <w:t>E. 4.1.1</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Les droits fondamentaux, vol. II, 2e éd., Berne 2006, n. 1346; cf. également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4.1.2</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 ss et 840 ss). Le droit d'être entendu est consacré, en procédure administrative fédérale, par l'art. 26, l'art. 27 et l'art. 28 de la loi fédérale du 20 décembre 1968 sur la procédure administrative (PA, RS 172.021) (droit de consulter les pièces), l'art. 29, l'art. 30, l'art. 31, l'art. 32 et l'art. 33 PA (droit d'être entendu stricto sensu) et l'art. 35 PA (droit d'obtenir une décision motivée), ainsi qu'en matière d'assurance sociale à l'art 42 de la loi fédérale du 6 octobre 2000 sur la partie générale du droit des assurances sociales (LPGA, RS 830.1) (droit d'être entendu) et à l'art.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 Il n'y a viola­tion du droit d'être entendu que si l'autorité ne satisfait pas à son devoir minimum d'examiner les problèmes pertinents (ATF 133 III 439 con­sid. 3.3, ATF 130 II 530 consid. 4.3). 4.2.1 En l'espèce, l'autorité a tout d'abord procédé par préavis, ainsi que l'art. 57a de la loi fédérale du 19 juin 1959 sur l'assurance-invalidité (LAI, RS 831.20) l'exige, en dérogation par ailleurs à l'art. 52 LPGA. Ce projet de décision, daté du 9 juin 2009, expose dans les grandes lignes les dispositions légales topiques et conclut que « sur la base des nou­veaux documents reçus, nous avons constaté que l'exercice d'une activité lucrative adaptée à l'état de santé serait à nouveau exigible à partir du 22 janvier 2009 et permettrait de réaliser plus de 60 % du gain qui pour­rait être réalisé. » Copie de ce projet a également été envoyée à l'institu­tion de prévoyance du recourant, mais en revanche rien n'indique que la prise de position du médecin du service médical régional (SMR) à l'ori­gine de la décision de suppression ou d'autres documents du dossier mé­dical ont été transmis au recourant. Celui-ci produit en guise d'objec­tion au projet, un certificat médical qui atteste de la prise de plusieurs médi­caments. L'autorité intimée confirme par décision finale du 19 août 2009 la suppression de la rente en citant les mêmes dispositions légales que dans le préavis. Pour satisfaire à l'art. 74 du règlement du 17 janvier 1961 sur l'assurance-invalidité (RAI, RS 831.201), qui prescrit que la mo­tivation du prononcé de l'AI doit tenir compte des observations qui ont été faites par les parties sur le préavis, l'autorité écrit: « [e]n procédure d'audition, nous avons soumis la nouvelle documentation envoyée à notre service médical, qui a confirmé ses précédentes conclusions. » Là encore, nul indice que dites précédentes conclusions (...) et l'appréciation du SMR sur la nouvelle documentation (...) ont été communiquées au recourant. Or, l'avis du médecin du SMR aurait dû accompagner le pré­avis du 9 juin 2009 et la deuxième prise de posi­tion du SMR, formulée en procédure d'audition, aurait elle dû se trouver en annexe de la décision du 19 août 2009 (cf. ATF 124 V 180 con­sid. 2b). En effet, le médecin du SMR a la charge d'examiner les pièces versées au dossier afin de pouvoir porter un jugement sur l'état de santé du recourant et d'indiquer dans quelle mesure et pour quelles activités celui-ci est apte à travailler. L'au­torité intimée s'est fondée sur cette appréciation pour rendre sa déci­sion de suppression. Ainsi que l'a déjà dit le Tribunal fédéral (TF) dans des arrêts concernant des décisions sur op­position (lesquelles ont été rem­placées en matière AI par une procédure de préavis), l'OAI VD doit en­tendre une nouvelle fois le recourant au sujet du rapport du médecin du SMR en procédure d'opposition. S'il omet de le faire, il viole le droit d'être entendu du recourant (arrêt du TF 8C_102/2007 du 25 octobre 2007 consid. 3.2, arrêt du TF I 211/06 du 22 février 2007 consid. 5.4.2, cf. également arrêt du TF 8C_424/2008 du 16 septembre 2008 con­sid. 2.2). 4.2.2 En l'espèce, en l'absence des rapports du SMR, il était impos­sible pour le recourant de comprendre la décision insuffisamment moti­vée dont il était destinataire. Pour la contester utilement, il a fait appel à un mandataire, lequel a requis la consultation du dossier qui ne lui est parvenu qu'après rappel et le dernier jour du délai de recours (ou de ce qu'il croyait être le dernier jour du délai de recours). Cette manière de faire est inadmissible et viole incontestablement le droit d'être entendu du recourant. L'argument de l'autorité intimée qui affirme avoir suffi­sam­ment exposé ses motifs, preuve en étant le mémoire de recours circons­tancié déposé par le recourant, laisse perplexe et tombe à faux. Dans l'écriture de recours, les faits sont très succinctement rappelés, sans au­cune référence à une quelconque position médicale. Les moyens de droit occupent à peine une demi-page A4 et sont développés au conditionnel, le mandataire précisant bien qu'il se réfère aux dires du recourant qui lui-même ignore les fondements de la décision de l'autorité.</w:t>
      </w:r>
    </w:p>
    <w:p>
      <w:r>
        <w:rPr>
          <w:b/>
        </w:rPr>
        <w:t>E. 4.3</w:t>
      </w:r>
    </w:p>
    <w:p>
      <w:r>
        <w:t>Il reste à examiner les conséquences de la violation du droit d'être entendu du recourant.</w:t>
      </w:r>
    </w:p>
    <w:p>
      <w:r>
        <w:rPr>
          <w:b/>
        </w:rPr>
        <w:t>E. 4.3.1</w:t>
      </w:r>
    </w:p>
    <w:p>
      <w:r>
        <w:t>Comme le relève justement l'autorité intimée,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 cit.; Ulrich Häfelin/Georg Müller/Felix Uhlmann, Allgemeines Verwal­tungs­recht, 5e éd., Zurich/Bâle/Genève 2006, n. 1711; Auer/Malinverni/Hot­te­lier, op. cit., n. 1347 s.). La répara­tion d'un vice éventuel doit cependant demeurer l'exception (ATF 127 V 431 con­sid. 3d/aa, ATF 126 V 130 con­sid. 2b).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w:t>
      </w:r>
    </w:p>
    <w:p>
      <w:r>
        <w:rPr>
          <w:b/>
        </w:rPr>
        <w:t>E. 4.3.2</w:t>
      </w:r>
    </w:p>
    <w:p>
      <w:r>
        <w:t>Dans le cas présent, il est opportun d'annuler la décision liti­gieu­se et de renvoyer la cause à l'autorité inférieure. Il sied à ce sujet de relever que le recourant conclut lui-même, mais pour des motifs diffé­rents, à ce que la cause soit retournée à l'instance précédente; partant, il n'est pas porté préjudice à son intérêt de voir ses prétentions rapidement tranchées. Ne pas joindre au préavis la documentation déterminante qui a permis à l'autorité de se forger son opinion revient somme toute à ignorer les buts de la procédure d'audition qui doit précisément permettre au des­tinataire de comprendre les raisons ayant conduit l'autorité à trancher de cette manière plutôt qu'une autre. L'obligation de motivation est d'au­tant plus importante dans une procédure de révision, lorsque le béné­ficiaire d'une rente entière se voit supprimer celle-ci après une lon­gue période d'allocation (en l'espèce 10 ans). L'autorité intimée ne peut se disculper en invoquant la possibilité de guérison devant l'autorité de re­cours. En effet, systématiquement guérir une telle violation du droit d'être entendu reviendrait à permettre à l'autorité de renoncer tout aussi systémati­que­ment à son obligation de motivation et à contraindre les as­su­rés à enga­ger une procédure judiciaire pour connaître les motifs à l'ori­gine de la décision. De plus, une violation du droit d'être entendu déjà en procédure de préavis, comme dans le cas qui nous occupe, entraîne la perte d'un degré de juridiction (arrêt du TAF C 3180/2006 du 4 juin 2007 con­sid. 10.3; Pierre Tschannen/Ulrich Zimmerli/Markus Müller, All­ge­meines Verwaltungsrecht, 3e éd., Berne 2009, p. 256 n. marg. 43; Ulrich Häfelin/Georg Müller/Felix Uhlmann, Allge­mei­nes Verwal­tungs­recht, 5e éd., Zurich/Bâle/Genève 2006, n. marg. 987). Il s'en suit que l'autorité intimée se doit de modifier sa pratique en matière de moti­vation, tant au niveau du préavis que de la décision finale.</w:t>
      </w:r>
    </w:p>
    <w:p>
      <w:r>
        <w:rPr>
          <w:b/>
        </w:rPr>
        <w:t>E. 5</w:t>
      </w:r>
    </w:p>
    <w:p>
      <w:r>
        <w:t>Au vu de ce qui précède, le recours doit donc être admis et la déci­sion attaquée annulée, le dossier étant renvoyé à l'OAIE pour qu'il statue à nouveau dans le respect des droits procéduraux des parties. A cet égard, peu importe que le dossier soit parvenu finalement au mandataire du re­courant; d'une part, il lui est arrivé tardivement et, d'autre part, cer­taines pièces qu'il contient auraient dû être en possession du recourant déjà en procédure de préavis. Vu l'issue du litige, la requête en complé­ment du recours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